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C6144" w14:textId="28E597CB" w:rsidR="00E32C38" w:rsidRDefault="008D5B2D">
      <w:r>
        <w:t>Jack Kent</w:t>
      </w:r>
    </w:p>
    <w:p w14:paraId="29C14438" w14:textId="4DA0E606" w:rsidR="008D5B2D" w:rsidRDefault="008D5B2D">
      <w:r>
        <w:t xml:space="preserve">Professor </w:t>
      </w:r>
      <w:proofErr w:type="spellStart"/>
      <w:r>
        <w:t>Slane</w:t>
      </w:r>
      <w:proofErr w:type="spellEnd"/>
    </w:p>
    <w:p w14:paraId="508F48E9" w14:textId="17A45499" w:rsidR="008D5B2D" w:rsidRDefault="008D5B2D">
      <w:r>
        <w:t>Finance CUE</w:t>
      </w:r>
      <w:r>
        <w:br/>
        <w:t>October 5, 2023</w:t>
      </w:r>
    </w:p>
    <w:p w14:paraId="4E2D0AEA" w14:textId="77777777" w:rsidR="008D5B2D" w:rsidRDefault="008D5B2D"/>
    <w:p w14:paraId="31BF5F1B" w14:textId="083FA9A6" w:rsidR="008D5B2D" w:rsidRDefault="008D5B2D" w:rsidP="00C93361">
      <w:pPr>
        <w:spacing w:line="360" w:lineRule="auto"/>
        <w:rPr>
          <w:b/>
          <w:bCs/>
          <w:u w:val="single"/>
        </w:rPr>
      </w:pPr>
      <w:r w:rsidRPr="008D5B2D">
        <w:rPr>
          <w:b/>
          <w:bCs/>
          <w:u w:val="single"/>
        </w:rPr>
        <w:t>Recommendation</w:t>
      </w:r>
    </w:p>
    <w:p w14:paraId="3148600F" w14:textId="24AA1E7A" w:rsidR="008D5B2D" w:rsidRDefault="008D5B2D" w:rsidP="00C93361">
      <w:pPr>
        <w:spacing w:line="360" w:lineRule="auto"/>
      </w:pPr>
      <w:r>
        <w:t xml:space="preserve">My recommendation to General Foods is to take on the new project. The new product would be very low risk in all areas. Additionally, developing this new project will prevent another company from developing this project and taking their customers. It will cost money to produce but spending that money will prevent a competitor from taking their customers and possibly shelf space from General Foods. They should not allow a competitor to gain any footing in the market or to possibly gain an advantage by going forward with “Super.”  </w:t>
      </w:r>
    </w:p>
    <w:p w14:paraId="69889FA1" w14:textId="77777777" w:rsidR="008D5B2D" w:rsidRDefault="008D5B2D" w:rsidP="00C93361">
      <w:pPr>
        <w:spacing w:line="360" w:lineRule="auto"/>
      </w:pPr>
    </w:p>
    <w:p w14:paraId="7C8C3FD4" w14:textId="48F5450C" w:rsidR="008D5B2D" w:rsidRDefault="00F65078" w:rsidP="00C93361">
      <w:pPr>
        <w:spacing w:line="360" w:lineRule="auto"/>
        <w:rPr>
          <w:b/>
          <w:bCs/>
          <w:u w:val="single"/>
        </w:rPr>
      </w:pPr>
      <w:r>
        <w:rPr>
          <w:b/>
          <w:bCs/>
          <w:u w:val="single"/>
        </w:rPr>
        <w:t xml:space="preserve">Business </w:t>
      </w:r>
      <w:r w:rsidR="008D5B2D" w:rsidRPr="008D5B2D">
        <w:rPr>
          <w:b/>
          <w:bCs/>
          <w:u w:val="single"/>
        </w:rPr>
        <w:t>Fit</w:t>
      </w:r>
    </w:p>
    <w:p w14:paraId="733E74D1" w14:textId="3652C45C" w:rsidR="00F65078" w:rsidRDefault="008D5B2D" w:rsidP="00C93361">
      <w:pPr>
        <w:spacing w:line="360" w:lineRule="auto"/>
      </w:pPr>
      <w:r>
        <w:t xml:space="preserve">This new dessert product “Super” fits into the General Foods’ business operations as they are a food corporation with a hold in the dessert market already. Jell-O is already under the General Food’s umbrella which is a similar instant dessert to their new product. </w:t>
      </w:r>
      <w:r w:rsidR="00F65078">
        <w:t>Additionally, the food industry is constantly evolving and growing which is also a positive for introducing a new product.</w:t>
      </w:r>
      <w:r w:rsidR="00F65078">
        <w:t xml:space="preserve"> Their employees also would have a knowledge of things such as marketing that would benefit General Foods. Super would be a low- risk project from a business fit perspective due to their previous experience as well as the industry they would be joining. </w:t>
      </w:r>
    </w:p>
    <w:p w14:paraId="0197A4C7" w14:textId="77777777" w:rsidR="00F65078" w:rsidRDefault="00F65078" w:rsidP="00C93361">
      <w:pPr>
        <w:spacing w:line="360" w:lineRule="auto"/>
      </w:pPr>
    </w:p>
    <w:p w14:paraId="6D3AA81A" w14:textId="5EE17477" w:rsidR="00F65078" w:rsidRPr="00F65078" w:rsidRDefault="00F65078" w:rsidP="00C93361">
      <w:pPr>
        <w:spacing w:line="360" w:lineRule="auto"/>
        <w:rPr>
          <w:b/>
          <w:bCs/>
          <w:u w:val="single"/>
        </w:rPr>
      </w:pPr>
      <w:r w:rsidRPr="00F65078">
        <w:rPr>
          <w:b/>
          <w:bCs/>
          <w:u w:val="single"/>
        </w:rPr>
        <w:t>Operational Fit</w:t>
      </w:r>
    </w:p>
    <w:p w14:paraId="612DD0DF" w14:textId="4C218F6F" w:rsidR="008D5B2D" w:rsidRDefault="008D5B2D" w:rsidP="00C93361">
      <w:pPr>
        <w:spacing w:line="360" w:lineRule="auto"/>
      </w:pPr>
      <w:r>
        <w:t xml:space="preserve">As stated, they already have some of the necessary machinery from producing Jell-O, they would just need to expand on their already existing infrastructure. In addition to the preexisting infrastructure, having employees with prior experience with food is a large advantage to a new product trying to gain a hold. </w:t>
      </w:r>
      <w:r w:rsidR="00F65078">
        <w:t xml:space="preserve">Their employees would also have previous experience in operating the machinery and throughout the process that would be important to developing Super. Their prior experience within the market and their existing infrastructure makes Super a very low risk project operationally. </w:t>
      </w:r>
    </w:p>
    <w:p w14:paraId="48EF0A31" w14:textId="77777777" w:rsidR="008D5B2D" w:rsidRDefault="008D5B2D"/>
    <w:p w14:paraId="39ABE9A4" w14:textId="4733755D" w:rsidR="00C93361" w:rsidRPr="00C93361" w:rsidRDefault="008D5B2D" w:rsidP="00C93361">
      <w:pPr>
        <w:rPr>
          <w:b/>
          <w:bCs/>
          <w:u w:val="single"/>
        </w:rPr>
      </w:pPr>
      <w:r>
        <w:rPr>
          <w:b/>
          <w:bCs/>
          <w:u w:val="single"/>
        </w:rPr>
        <w:t>Cash Flow Analysis</w:t>
      </w:r>
    </w:p>
    <w:p w14:paraId="1113224D" w14:textId="6AFE340A" w:rsidR="00C93361" w:rsidRPr="00C93361" w:rsidRDefault="00C93361">
      <w:pPr>
        <w:rPr>
          <w:b/>
          <w:bCs/>
        </w:rPr>
      </w:pPr>
      <w:r w:rsidRPr="00C93361">
        <w:rPr>
          <w:b/>
          <w:bCs/>
        </w:rPr>
        <w:t>Numbers in Thousands</w:t>
      </w:r>
    </w:p>
    <w:p w14:paraId="1B2737F3" w14:textId="39B9A155" w:rsidR="008D5B2D" w:rsidRPr="008D5B2D" w:rsidRDefault="008D5B2D">
      <w:r>
        <w:t>Option 1: Ignore Erosion Completely</w:t>
      </w:r>
    </w:p>
    <w:p w14:paraId="2519E905" w14:textId="77777777" w:rsidR="008D5B2D" w:rsidRDefault="008D5B2D"/>
    <w:p w14:paraId="2D6A3399" w14:textId="6C34675E" w:rsidR="008D5B2D" w:rsidRDefault="008D5B2D">
      <w:r>
        <w:t>10 Year Cash Flows starting with Year 1</w:t>
      </w:r>
    </w:p>
    <w:tbl>
      <w:tblPr>
        <w:tblW w:w="10350" w:type="dxa"/>
        <w:tblLook w:val="04A0" w:firstRow="1" w:lastRow="0" w:firstColumn="1" w:lastColumn="0" w:noHBand="0" w:noVBand="1"/>
      </w:tblPr>
      <w:tblGrid>
        <w:gridCol w:w="1076"/>
        <w:gridCol w:w="983"/>
        <w:gridCol w:w="983"/>
        <w:gridCol w:w="983"/>
        <w:gridCol w:w="983"/>
        <w:gridCol w:w="1410"/>
        <w:gridCol w:w="983"/>
        <w:gridCol w:w="983"/>
        <w:gridCol w:w="983"/>
        <w:gridCol w:w="983"/>
      </w:tblGrid>
      <w:tr w:rsidR="00C93361" w:rsidRPr="008D5B2D" w14:paraId="74E017AC" w14:textId="77777777" w:rsidTr="008D5B2D">
        <w:trPr>
          <w:trHeight w:val="316"/>
        </w:trPr>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8F063" w14:textId="6A7C550F"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-32.36</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652AD4A3" w14:textId="048ED6AA"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35.28</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372C66C7" w14:textId="526D697F"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102.92</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3D6FB9E8" w14:textId="09231945"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194.56</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023BDC6A" w14:textId="19567C50"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334.2</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14:paraId="4D838DE6" w14:textId="5F06134E"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334.16</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4AE77DA8" w14:textId="5D878E89"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363.4</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2DCC835A" w14:textId="5FAFB030"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362.88</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19D7EE10" w14:textId="12E80D30"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396.92</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14:paraId="0BD4918A" w14:textId="45D2C03A" w:rsidR="00C93361" w:rsidRPr="008D5B2D" w:rsidRDefault="00C93361" w:rsidP="00C93361">
            <w:pPr>
              <w:jc w:val="right"/>
              <w:rPr>
                <w:rFonts w:ascii="Calibri" w:hAnsi="Calibri" w:cs="Calibri"/>
                <w:color w:val="000000"/>
                <w:sz w:val="22"/>
                <w:szCs w:val="22"/>
              </w:rPr>
            </w:pPr>
            <w:r>
              <w:rPr>
                <w:rFonts w:ascii="Calibri" w:hAnsi="Calibri" w:cs="Calibri"/>
                <w:color w:val="000000"/>
                <w:sz w:val="22"/>
                <w:szCs w:val="22"/>
              </w:rPr>
              <w:t>396.4</w:t>
            </w:r>
          </w:p>
        </w:tc>
      </w:tr>
    </w:tbl>
    <w:p w14:paraId="60D257E2" w14:textId="77777777" w:rsidR="008D5B2D" w:rsidRDefault="008D5B2D"/>
    <w:p w14:paraId="3C0EDF8B" w14:textId="06771EF6" w:rsidR="008D5B2D" w:rsidRDefault="008D5B2D">
      <w:r>
        <w:t>IRR= 48.5%</w:t>
      </w:r>
    </w:p>
    <w:p w14:paraId="3C9A40E5" w14:textId="6E7DD393" w:rsidR="008D5B2D" w:rsidRDefault="008D5B2D">
      <w:r>
        <w:t>NPV= $</w:t>
      </w:r>
      <w:r w:rsidR="00C93361">
        <w:t>936.77</w:t>
      </w:r>
    </w:p>
    <w:p w14:paraId="5F9E0335" w14:textId="77777777" w:rsidR="008D5B2D" w:rsidRDefault="008D5B2D"/>
    <w:p w14:paraId="00B9BC60" w14:textId="352AC386" w:rsidR="008D5B2D" w:rsidRDefault="008D5B2D">
      <w:r>
        <w:t>Option 2: Accept Erosion, only count 80% of the revenue as new sales.</w:t>
      </w:r>
    </w:p>
    <w:p w14:paraId="7DA3F2A4" w14:textId="77777777" w:rsidR="008D5B2D" w:rsidRDefault="008D5B2D"/>
    <w:p w14:paraId="4B9E4D6B" w14:textId="77777777" w:rsidR="008D5B2D" w:rsidRDefault="008D5B2D" w:rsidP="008D5B2D">
      <w:r>
        <w:t>10 Year Cash Flows starting with Year 1</w:t>
      </w:r>
    </w:p>
    <w:tbl>
      <w:tblPr>
        <w:tblW w:w="10538" w:type="dxa"/>
        <w:tblLook w:val="04A0" w:firstRow="1" w:lastRow="0" w:firstColumn="1" w:lastColumn="0" w:noHBand="0" w:noVBand="1"/>
      </w:tblPr>
      <w:tblGrid>
        <w:gridCol w:w="1095"/>
        <w:gridCol w:w="1001"/>
        <w:gridCol w:w="1001"/>
        <w:gridCol w:w="1001"/>
        <w:gridCol w:w="1001"/>
        <w:gridCol w:w="1435"/>
        <w:gridCol w:w="1001"/>
        <w:gridCol w:w="1001"/>
        <w:gridCol w:w="1001"/>
        <w:gridCol w:w="1001"/>
      </w:tblGrid>
      <w:tr w:rsidR="008D5B2D" w:rsidRPr="008D5B2D" w14:paraId="0EC69BDB" w14:textId="77777777" w:rsidTr="008D5B2D">
        <w:trPr>
          <w:trHeight w:val="299"/>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9936A"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-235.112</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4B894E48"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-185.904</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6D8CF4E6"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-136.696</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539C061A"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-63.488</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23A2F8AD"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58.24</w:t>
            </w:r>
          </w:p>
        </w:tc>
        <w:tc>
          <w:tcPr>
            <w:tcW w:w="1435" w:type="dxa"/>
            <w:tcBorders>
              <w:top w:val="single" w:sz="4" w:space="0" w:color="auto"/>
              <w:left w:val="nil"/>
              <w:bottom w:val="single" w:sz="4" w:space="0" w:color="auto"/>
              <w:right w:val="single" w:sz="4" w:space="0" w:color="auto"/>
            </w:tcBorders>
            <w:shd w:val="clear" w:color="auto" w:fill="auto"/>
            <w:noWrap/>
            <w:vAlign w:val="bottom"/>
            <w:hideMark/>
          </w:tcPr>
          <w:p w14:paraId="3E2AC789"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57.2</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0A359F93"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68.008</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463784D9"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67.488</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5AF04662"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83.096</w:t>
            </w:r>
          </w:p>
        </w:tc>
        <w:tc>
          <w:tcPr>
            <w:tcW w:w="1001" w:type="dxa"/>
            <w:tcBorders>
              <w:top w:val="single" w:sz="4" w:space="0" w:color="auto"/>
              <w:left w:val="nil"/>
              <w:bottom w:val="single" w:sz="4" w:space="0" w:color="auto"/>
              <w:right w:val="single" w:sz="4" w:space="0" w:color="auto"/>
            </w:tcBorders>
            <w:shd w:val="clear" w:color="auto" w:fill="auto"/>
            <w:noWrap/>
            <w:vAlign w:val="bottom"/>
            <w:hideMark/>
          </w:tcPr>
          <w:p w14:paraId="4EC8F75D" w14:textId="77777777" w:rsidR="008D5B2D" w:rsidRPr="008D5B2D" w:rsidRDefault="008D5B2D">
            <w:pPr>
              <w:jc w:val="right"/>
              <w:rPr>
                <w:rFonts w:ascii="Calibri" w:hAnsi="Calibri" w:cs="Calibri"/>
                <w:color w:val="000000"/>
                <w:sz w:val="21"/>
                <w:szCs w:val="21"/>
              </w:rPr>
            </w:pPr>
            <w:r w:rsidRPr="008D5B2D">
              <w:rPr>
                <w:rFonts w:ascii="Calibri" w:hAnsi="Calibri" w:cs="Calibri"/>
                <w:color w:val="000000"/>
                <w:sz w:val="21"/>
                <w:szCs w:val="21"/>
              </w:rPr>
              <w:t>82.576</w:t>
            </w:r>
          </w:p>
        </w:tc>
      </w:tr>
    </w:tbl>
    <w:p w14:paraId="72524463" w14:textId="77777777" w:rsidR="008D5B2D" w:rsidRPr="008D5B2D" w:rsidRDefault="008D5B2D" w:rsidP="008D5B2D">
      <w:pPr>
        <w:rPr>
          <w:sz w:val="21"/>
          <w:szCs w:val="21"/>
        </w:rPr>
      </w:pPr>
    </w:p>
    <w:p w14:paraId="7C545DC5" w14:textId="36909874" w:rsidR="008D5B2D" w:rsidRDefault="008D5B2D">
      <w:r>
        <w:t>IRR= -10%</w:t>
      </w:r>
    </w:p>
    <w:p w14:paraId="724D4EBD" w14:textId="72AD0519" w:rsidR="008D5B2D" w:rsidRDefault="008D5B2D" w:rsidP="00C93361">
      <w:r>
        <w:t>NPV= -$</w:t>
      </w:r>
      <w:r w:rsidR="00C93361">
        <w:t>518.19</w:t>
      </w:r>
    </w:p>
    <w:p w14:paraId="3178B474" w14:textId="77777777" w:rsidR="00C93361" w:rsidRDefault="00C93361"/>
    <w:p w14:paraId="09CADDD5" w14:textId="6DA6C24B" w:rsidR="008D5B2D" w:rsidRDefault="008D5B2D">
      <w:r>
        <w:t xml:space="preserve">Option 3: Middle Ground, Subtract erosion directly from revenue. </w:t>
      </w:r>
    </w:p>
    <w:p w14:paraId="37448644" w14:textId="77777777" w:rsidR="008D5B2D" w:rsidRDefault="008D5B2D"/>
    <w:p w14:paraId="0DCE96D6" w14:textId="29747C5D" w:rsidR="008D5B2D" w:rsidRDefault="008D5B2D">
      <w:r>
        <w:t>10 Year Cash Flows Starting with Year 1</w:t>
      </w:r>
    </w:p>
    <w:tbl>
      <w:tblPr>
        <w:tblW w:w="10212" w:type="dxa"/>
        <w:tblLook w:val="04A0" w:firstRow="1" w:lastRow="0" w:firstColumn="1" w:lastColumn="0" w:noHBand="0" w:noVBand="1"/>
      </w:tblPr>
      <w:tblGrid>
        <w:gridCol w:w="1061"/>
        <w:gridCol w:w="970"/>
        <w:gridCol w:w="970"/>
        <w:gridCol w:w="970"/>
        <w:gridCol w:w="970"/>
        <w:gridCol w:w="1391"/>
        <w:gridCol w:w="970"/>
        <w:gridCol w:w="970"/>
        <w:gridCol w:w="970"/>
        <w:gridCol w:w="970"/>
      </w:tblGrid>
      <w:tr w:rsidR="00C93361" w14:paraId="18132233" w14:textId="77777777" w:rsidTr="008D5B2D">
        <w:trPr>
          <w:trHeight w:val="350"/>
        </w:trPr>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13AF1" w14:textId="6854F8D7"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-118.76</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733F03FE" w14:textId="5A634962"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-60.72</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53891C50" w14:textId="4A55C84B"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2.12</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4E0FF869" w14:textId="72AC4499"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88.96</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55B9BBB2" w14:textId="3E01232E"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223.8</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14:paraId="5162768D" w14:textId="02AD8EDB"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223.76</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496AE5B9" w14:textId="6947E743"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248.2</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24FBD6A1" w14:textId="73FBFE2F"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247.68</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6C65B1F5" w14:textId="0902DB4D"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276.92</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14:paraId="1468EB2F" w14:textId="20CA3F3C" w:rsidR="00C93361" w:rsidRDefault="00C93361" w:rsidP="00C93361">
            <w:pPr>
              <w:jc w:val="right"/>
              <w:rPr>
                <w:rFonts w:ascii="Calibri" w:hAnsi="Calibri" w:cs="Calibri"/>
                <w:color w:val="000000"/>
                <w:sz w:val="22"/>
                <w:szCs w:val="22"/>
              </w:rPr>
            </w:pPr>
            <w:r>
              <w:rPr>
                <w:rFonts w:ascii="Calibri" w:hAnsi="Calibri" w:cs="Calibri"/>
                <w:color w:val="000000"/>
                <w:sz w:val="22"/>
                <w:szCs w:val="22"/>
              </w:rPr>
              <w:t>276.4</w:t>
            </w:r>
          </w:p>
        </w:tc>
      </w:tr>
    </w:tbl>
    <w:p w14:paraId="78FA235F" w14:textId="77777777" w:rsidR="008D5B2D" w:rsidRDefault="008D5B2D"/>
    <w:p w14:paraId="5BE87ECD" w14:textId="12CDCCC5" w:rsidR="008D5B2D" w:rsidRDefault="008D5B2D">
      <w:r>
        <w:t>IRR= 24.7</w:t>
      </w:r>
      <w:r w:rsidR="00C93361">
        <w:t>6</w:t>
      </w:r>
      <w:r>
        <w:t>%</w:t>
      </w:r>
    </w:p>
    <w:p w14:paraId="0ECB6D1F" w14:textId="08DD5515" w:rsidR="008D5B2D" w:rsidRDefault="008D5B2D">
      <w:r>
        <w:t>NPV= $</w:t>
      </w:r>
      <w:r w:rsidR="00C93361">
        <w:t>345.12</w:t>
      </w:r>
    </w:p>
    <w:p w14:paraId="45A14EA1" w14:textId="77777777" w:rsidR="00C93361" w:rsidRDefault="00C93361"/>
    <w:p w14:paraId="6B309D8B" w14:textId="0EC7B195" w:rsidR="00C93361" w:rsidRDefault="00F65078" w:rsidP="00C93361">
      <w:pPr>
        <w:spacing w:line="360" w:lineRule="auto"/>
        <w:rPr>
          <w:b/>
          <w:bCs/>
          <w:u w:val="single"/>
        </w:rPr>
      </w:pPr>
      <w:r>
        <w:rPr>
          <w:b/>
          <w:bCs/>
          <w:u w:val="single"/>
        </w:rPr>
        <w:t>Presentation of Financials</w:t>
      </w:r>
    </w:p>
    <w:p w14:paraId="7BB2CBD2" w14:textId="03B01ED3" w:rsidR="00C93361" w:rsidRDefault="00C93361" w:rsidP="00C93361">
      <w:pPr>
        <w:spacing w:line="360" w:lineRule="auto"/>
      </w:pPr>
      <w:r>
        <w:t xml:space="preserve">All three options could be accepted based on the company’s standing and what they desire. Option one completely ignores erosion exists, which will result in counting sales that are being taken from other existing General Foods’ products. This double counting and lack of acknowledging erosion results in the IRR being 48.50% and the NPV totaling $936,770. The benefit of this however is that General Foods would be taking their own customers. They would not be losing customers to competitors who will inevitably create “Super”. Option 2 accepts erosion, theorizing that only 80% of the revenue brought in on Super would be from new sales. Compared to option 1, which has an extremely good IRR and NPV, option 2 has a negative IRR and NPV at -10% and -$518,190, respectively. However, </w:t>
      </w:r>
      <w:r w:rsidR="00F65078">
        <w:t>O</w:t>
      </w:r>
      <w:r>
        <w:t xml:space="preserve">ption 2 would almost certainly result in Super not being produced and another company swooping in to take the customers that Super would have reached. However, option 3 is a mix of both. Option 3 considers erosion by subtracting a figure titled “Adjustments (explain) Erosion” from the revenue. Using this method, we get an IRR of 24.76% and an NPV of $345,120, and cash begins to be positive in year three </w:t>
      </w:r>
      <w:r>
        <w:lastRenderedPageBreak/>
        <w:t xml:space="preserve">as opposed to in year 5 like in </w:t>
      </w:r>
      <w:r w:rsidR="00F65078">
        <w:t>O</w:t>
      </w:r>
      <w:r>
        <w:t xml:space="preserve">ption 2. Option 3 considers the sales that will be taken from other General Foods, but not as drastically as </w:t>
      </w:r>
      <w:r w:rsidR="00F65078">
        <w:t>O</w:t>
      </w:r>
      <w:r>
        <w:t xml:space="preserve">ption 2 which results in positive financial values. </w:t>
      </w:r>
    </w:p>
    <w:p w14:paraId="50E65FBE" w14:textId="77777777" w:rsidR="00C93361" w:rsidRDefault="00C93361" w:rsidP="00C93361">
      <w:pPr>
        <w:spacing w:line="360" w:lineRule="auto"/>
      </w:pPr>
    </w:p>
    <w:p w14:paraId="16CA80AA" w14:textId="2A112233" w:rsidR="00C93361" w:rsidRDefault="00F65078" w:rsidP="00C93361">
      <w:pPr>
        <w:spacing w:line="360" w:lineRule="auto"/>
        <w:rPr>
          <w:b/>
          <w:bCs/>
          <w:u w:val="single"/>
        </w:rPr>
      </w:pPr>
      <w:r>
        <w:rPr>
          <w:b/>
          <w:bCs/>
          <w:u w:val="single"/>
        </w:rPr>
        <w:t>Erosion Issue</w:t>
      </w:r>
    </w:p>
    <w:p w14:paraId="071F07B7" w14:textId="178CABCE" w:rsidR="00F65078" w:rsidRDefault="00C93361" w:rsidP="00C93361">
      <w:pPr>
        <w:spacing w:line="360" w:lineRule="auto"/>
      </w:pPr>
      <w:r>
        <w:t xml:space="preserve">I chose to use the third accounting option using the mystery erosion number. I felt that </w:t>
      </w:r>
      <w:r w:rsidR="00F65078">
        <w:t>O</w:t>
      </w:r>
      <w:r>
        <w:t>ption 3 was best because it accounts for the erosion of sales, but also shows the value in creating the new project. Also, proceeding with Super will prevent another company from creating it and entering or strengthening their hold in a similar market to General Foods’ Jell-O. Creating Super will allow General Foods to keep their shelf space while also preventing the loss of customers. Option 3</w:t>
      </w:r>
      <w:r w:rsidR="00F65078">
        <w:t xml:space="preserve"> </w:t>
      </w:r>
      <w:r>
        <w:t xml:space="preserve">acknowledges erosion and accepts its occurrence, without drastically tanking their revenue numbers as </w:t>
      </w:r>
      <w:r w:rsidR="00F65078">
        <w:t>O</w:t>
      </w:r>
      <w:r>
        <w:t xml:space="preserve">ption 2 does. It also does not double count customers like in </w:t>
      </w:r>
      <w:r w:rsidR="00F65078">
        <w:t>O</w:t>
      </w:r>
      <w:r>
        <w:t>ption 1, which makes the project look much better than it would be.</w:t>
      </w:r>
      <w:r w:rsidR="00F65078">
        <w:t xml:space="preserve"> Option 3 is best when trying to fully analyze the project, because it is not as drastic to one side or the other like Options 1 and 2. </w:t>
      </w:r>
    </w:p>
    <w:p w14:paraId="43BDFDB7" w14:textId="77777777" w:rsidR="00F65078" w:rsidRDefault="00F65078" w:rsidP="00C93361">
      <w:pPr>
        <w:spacing w:line="360" w:lineRule="auto"/>
      </w:pPr>
    </w:p>
    <w:p w14:paraId="28AEBE80" w14:textId="5849D295" w:rsidR="00F65078" w:rsidRPr="00F65078" w:rsidRDefault="00F65078" w:rsidP="00C93361">
      <w:pPr>
        <w:spacing w:line="360" w:lineRule="auto"/>
        <w:rPr>
          <w:b/>
          <w:bCs/>
          <w:u w:val="single"/>
        </w:rPr>
      </w:pPr>
      <w:r w:rsidRPr="00F65078">
        <w:rPr>
          <w:b/>
          <w:bCs/>
          <w:u w:val="single"/>
        </w:rPr>
        <w:t>Test Marketing</w:t>
      </w:r>
    </w:p>
    <w:p w14:paraId="2575735B" w14:textId="0AE1A996" w:rsidR="00F65078" w:rsidRDefault="00C93361" w:rsidP="00C93361">
      <w:pPr>
        <w:spacing w:line="360" w:lineRule="auto"/>
      </w:pPr>
      <w:r>
        <w:t>I did not account for test marketing expenses in the analysis, as test marketing is necessary for all projects</w:t>
      </w:r>
      <w:r w:rsidR="00F65078">
        <w:t>. The purpose of test marketing is</w:t>
      </w:r>
      <w:r>
        <w:t xml:space="preserve"> to obtain an idea of how their product will perform. It is money that must be spent</w:t>
      </w:r>
      <w:r w:rsidR="00F65078">
        <w:t xml:space="preserve"> on a project regardless</w:t>
      </w:r>
      <w:r>
        <w:t>, so I feel like it should not be held against how the product itself will perform. I would rather just see the project as it is, without the test market</w:t>
      </w:r>
      <w:r w:rsidR="00F65078">
        <w:t xml:space="preserve"> bogging down the future numbers. </w:t>
      </w:r>
    </w:p>
    <w:p w14:paraId="48FC5DC9" w14:textId="77777777" w:rsidR="00F65078" w:rsidRDefault="00F65078" w:rsidP="00C93361">
      <w:pPr>
        <w:spacing w:line="360" w:lineRule="auto"/>
      </w:pPr>
    </w:p>
    <w:p w14:paraId="5D1A1E93" w14:textId="01624674" w:rsidR="00F65078" w:rsidRPr="00F65078" w:rsidRDefault="00F65078" w:rsidP="00C93361">
      <w:pPr>
        <w:spacing w:line="360" w:lineRule="auto"/>
        <w:rPr>
          <w:b/>
          <w:bCs/>
          <w:u w:val="single"/>
        </w:rPr>
      </w:pPr>
      <w:r w:rsidRPr="00F65078">
        <w:rPr>
          <w:b/>
          <w:bCs/>
          <w:u w:val="single"/>
        </w:rPr>
        <w:t>Hurdle Rate</w:t>
      </w:r>
    </w:p>
    <w:p w14:paraId="1FAC3363" w14:textId="099B990E" w:rsidR="00C93361" w:rsidRDefault="00C93361" w:rsidP="00C93361">
      <w:pPr>
        <w:spacing w:line="360" w:lineRule="auto"/>
      </w:pPr>
      <w:r>
        <w:t>Lastly, I chose a hurdle rate of 12% as this is a generally low-risk project as discussed in the section</w:t>
      </w:r>
      <w:r w:rsidR="00F65078">
        <w:t xml:space="preserve">s above regarding Business and Operational Fit. </w:t>
      </w:r>
      <w:r>
        <w:t xml:space="preserve">12% is </w:t>
      </w:r>
      <w:r w:rsidR="00F65078">
        <w:t xml:space="preserve">generally normal </w:t>
      </w:r>
      <w:r>
        <w:t>and as a low-risk project, I felt the hurdle rate should also be similarly low risk</w:t>
      </w:r>
      <w:r w:rsidR="00F65078">
        <w:t xml:space="preserve"> and regular. </w:t>
      </w:r>
    </w:p>
    <w:p w14:paraId="005867A7" w14:textId="77777777" w:rsidR="00C93361" w:rsidRDefault="00C93361" w:rsidP="00C93361">
      <w:pPr>
        <w:spacing w:line="360" w:lineRule="auto"/>
      </w:pPr>
    </w:p>
    <w:p w14:paraId="71C5E5E8" w14:textId="42C35E24" w:rsidR="00C93361" w:rsidRDefault="00C93361" w:rsidP="00C93361">
      <w:pPr>
        <w:spacing w:line="360" w:lineRule="auto"/>
        <w:rPr>
          <w:b/>
          <w:bCs/>
          <w:u w:val="single"/>
        </w:rPr>
      </w:pPr>
      <w:r w:rsidRPr="00C93361">
        <w:rPr>
          <w:b/>
          <w:bCs/>
          <w:u w:val="single"/>
        </w:rPr>
        <w:t>Summary</w:t>
      </w:r>
    </w:p>
    <w:p w14:paraId="6D14DC77" w14:textId="1BDC71E2" w:rsidR="00C93361" w:rsidRPr="00C93361" w:rsidRDefault="00C93361" w:rsidP="00C93361">
      <w:pPr>
        <w:spacing w:line="360" w:lineRule="auto"/>
      </w:pPr>
      <w:r>
        <w:t xml:space="preserve">In closing, I recommend that General Foods takes on the project. I make this recommendation based on Option 3 of the middle ground that accepts erosion, but not as drastically as Option 2 does. Similarly, I believe that Option 1 results in some errors that causes the outlook to be too optimistic. I think that it is important to go forward with Super, based on the importance of not </w:t>
      </w:r>
      <w:r>
        <w:lastRenderedPageBreak/>
        <w:t xml:space="preserve">letting another company into the market to take customers and shelf space from General Foods. Additionally, this is a relatively low-risk project based on the food industry constantly growing, the experience General Foods has within it, and most of the infrastructure already being in place outside of $120,000 for machinery and $80,000 for upgrades to existing buildings. </w:t>
      </w:r>
      <w:r w:rsidR="004D1FE3">
        <w:t xml:space="preserve">The combination of being low risk, as well as the importance of not allowing a competitor to join the market lead me to recommend General Foods to take on Super. </w:t>
      </w:r>
    </w:p>
    <w:sectPr w:rsidR="00C93361" w:rsidRPr="00C93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B2D"/>
    <w:rsid w:val="000E5CED"/>
    <w:rsid w:val="001B7E24"/>
    <w:rsid w:val="003146F5"/>
    <w:rsid w:val="004D1FE3"/>
    <w:rsid w:val="008D5B2D"/>
    <w:rsid w:val="00C93361"/>
    <w:rsid w:val="00E32C38"/>
    <w:rsid w:val="00F650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0763C7A"/>
  <w15:chartTrackingRefBased/>
  <w15:docId w15:val="{93F81B98-72AE-634C-AECA-62BC45B7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B2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627063">
      <w:bodyDiv w:val="1"/>
      <w:marLeft w:val="0"/>
      <w:marRight w:val="0"/>
      <w:marTop w:val="0"/>
      <w:marBottom w:val="0"/>
      <w:divBdr>
        <w:top w:val="none" w:sz="0" w:space="0" w:color="auto"/>
        <w:left w:val="none" w:sz="0" w:space="0" w:color="auto"/>
        <w:bottom w:val="none" w:sz="0" w:space="0" w:color="auto"/>
        <w:right w:val="none" w:sz="0" w:space="0" w:color="auto"/>
      </w:divBdr>
    </w:div>
    <w:div w:id="594362918">
      <w:bodyDiv w:val="1"/>
      <w:marLeft w:val="0"/>
      <w:marRight w:val="0"/>
      <w:marTop w:val="0"/>
      <w:marBottom w:val="0"/>
      <w:divBdr>
        <w:top w:val="none" w:sz="0" w:space="0" w:color="auto"/>
        <w:left w:val="none" w:sz="0" w:space="0" w:color="auto"/>
        <w:bottom w:val="none" w:sz="0" w:space="0" w:color="auto"/>
        <w:right w:val="none" w:sz="0" w:space="0" w:color="auto"/>
      </w:divBdr>
    </w:div>
    <w:div w:id="634916611">
      <w:bodyDiv w:val="1"/>
      <w:marLeft w:val="0"/>
      <w:marRight w:val="0"/>
      <w:marTop w:val="0"/>
      <w:marBottom w:val="0"/>
      <w:divBdr>
        <w:top w:val="none" w:sz="0" w:space="0" w:color="auto"/>
        <w:left w:val="none" w:sz="0" w:space="0" w:color="auto"/>
        <w:bottom w:val="none" w:sz="0" w:space="0" w:color="auto"/>
        <w:right w:val="none" w:sz="0" w:space="0" w:color="auto"/>
      </w:divBdr>
    </w:div>
    <w:div w:id="1423142656">
      <w:bodyDiv w:val="1"/>
      <w:marLeft w:val="0"/>
      <w:marRight w:val="0"/>
      <w:marTop w:val="0"/>
      <w:marBottom w:val="0"/>
      <w:divBdr>
        <w:top w:val="none" w:sz="0" w:space="0" w:color="auto"/>
        <w:left w:val="none" w:sz="0" w:space="0" w:color="auto"/>
        <w:bottom w:val="none" w:sz="0" w:space="0" w:color="auto"/>
        <w:right w:val="none" w:sz="0" w:space="0" w:color="auto"/>
      </w:divBdr>
    </w:div>
    <w:div w:id="212738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4</Pages>
  <Words>963</Words>
  <Characters>5491</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Kent</dc:creator>
  <cp:keywords/>
  <dc:description/>
  <cp:lastModifiedBy>Jack Kent</cp:lastModifiedBy>
  <cp:revision>16</cp:revision>
  <dcterms:created xsi:type="dcterms:W3CDTF">2023-10-06T01:38:00Z</dcterms:created>
  <dcterms:modified xsi:type="dcterms:W3CDTF">2023-10-10T15:21:00Z</dcterms:modified>
</cp:coreProperties>
</file>