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A59C2" w14:textId="51C9E7F2" w:rsidR="00E32C38" w:rsidRPr="00B332A9" w:rsidRDefault="007174E7">
      <w:pPr>
        <w:rPr>
          <w:rFonts w:asciiTheme="majorBidi" w:hAnsiTheme="majorBidi" w:cstheme="majorBidi"/>
          <w:b/>
          <w:bCs/>
        </w:rPr>
      </w:pPr>
      <w:r w:rsidRPr="00B332A9">
        <w:rPr>
          <w:rFonts w:asciiTheme="majorBidi" w:hAnsiTheme="majorBidi" w:cstheme="majorBidi"/>
          <w:b/>
          <w:bCs/>
        </w:rPr>
        <w:t>Jack Kent</w:t>
      </w:r>
    </w:p>
    <w:p w14:paraId="40DBA5E6" w14:textId="506D08EE" w:rsidR="00B332A9" w:rsidRPr="00B332A9" w:rsidRDefault="0024206E" w:rsidP="00B332A9">
      <w:pPr>
        <w:spacing w:line="480" w:lineRule="auto"/>
        <w:jc w:val="center"/>
        <w:rPr>
          <w:rFonts w:asciiTheme="majorBidi" w:hAnsiTheme="majorBidi" w:cstheme="majorBidi"/>
          <w:b/>
          <w:bCs/>
        </w:rPr>
      </w:pPr>
      <w:r>
        <w:rPr>
          <w:rFonts w:asciiTheme="majorBidi" w:hAnsiTheme="majorBidi" w:cstheme="majorBidi"/>
          <w:b/>
          <w:bCs/>
        </w:rPr>
        <w:t>Competitive Balance and Attendance in the NBA</w:t>
      </w:r>
    </w:p>
    <w:p w14:paraId="0C7CB53B" w14:textId="05BD0E56" w:rsidR="007174E7" w:rsidRPr="00B332A9" w:rsidRDefault="007174E7" w:rsidP="00A612FF">
      <w:pPr>
        <w:spacing w:line="480" w:lineRule="auto"/>
        <w:rPr>
          <w:rFonts w:asciiTheme="majorBidi" w:hAnsiTheme="majorBidi" w:cstheme="majorBidi"/>
        </w:rPr>
      </w:pPr>
      <w:r w:rsidRPr="00B332A9">
        <w:rPr>
          <w:rFonts w:asciiTheme="majorBidi" w:hAnsiTheme="majorBidi" w:cstheme="majorBidi"/>
        </w:rPr>
        <w:tab/>
        <w:t xml:space="preserve"> The National Basketball Association or NBA is one of the largest sports leagues in the world, with viewers and players from all around the globe. Fans will travel from all distances to watch teams compete for 82 regular season games per year. The league consists of an Eastern and Western Conference, currently with 15 teams each. In this essay, we will focus on the Eastern Conference Teams only. </w:t>
      </w:r>
    </w:p>
    <w:p w14:paraId="153E64F7" w14:textId="2C4D664C" w:rsidR="0067312C" w:rsidRPr="00B332A9" w:rsidRDefault="007174E7" w:rsidP="00A612FF">
      <w:pPr>
        <w:spacing w:line="480" w:lineRule="auto"/>
        <w:rPr>
          <w:rFonts w:asciiTheme="majorBidi" w:hAnsiTheme="majorBidi" w:cstheme="majorBidi"/>
        </w:rPr>
      </w:pPr>
      <w:r w:rsidRPr="00B332A9">
        <w:rPr>
          <w:rFonts w:asciiTheme="majorBidi" w:hAnsiTheme="majorBidi" w:cstheme="majorBidi"/>
        </w:rPr>
        <w:tab/>
        <w:t xml:space="preserve">A common criticism of the NBA is that it is too “player run,” meaning that superstars such as Damian Lillard, James Harden, Jimmy </w:t>
      </w:r>
      <w:r w:rsidR="0067312C" w:rsidRPr="00B332A9">
        <w:rPr>
          <w:rFonts w:asciiTheme="majorBidi" w:hAnsiTheme="majorBidi" w:cstheme="majorBidi"/>
        </w:rPr>
        <w:t>Butler,</w:t>
      </w:r>
      <w:r w:rsidRPr="00B332A9">
        <w:rPr>
          <w:rFonts w:asciiTheme="majorBidi" w:hAnsiTheme="majorBidi" w:cstheme="majorBidi"/>
        </w:rPr>
        <w:t xml:space="preserve"> and others can pick and choose where, when and with whom they would like to play. This can result in “super teams” being formed and the lowest of teams being beat up upon by teams with a much higher </w:t>
      </w:r>
      <w:r w:rsidR="0067312C" w:rsidRPr="00B332A9">
        <w:rPr>
          <w:rFonts w:asciiTheme="majorBidi" w:hAnsiTheme="majorBidi" w:cstheme="majorBidi"/>
        </w:rPr>
        <w:t>level of talent</w:t>
      </w:r>
      <w:r w:rsidRPr="00B332A9">
        <w:rPr>
          <w:rFonts w:asciiTheme="majorBidi" w:hAnsiTheme="majorBidi" w:cstheme="majorBidi"/>
        </w:rPr>
        <w:t>.</w:t>
      </w:r>
      <w:r w:rsidR="0067312C" w:rsidRPr="00B332A9">
        <w:rPr>
          <w:rFonts w:asciiTheme="majorBidi" w:hAnsiTheme="majorBidi" w:cstheme="majorBidi"/>
        </w:rPr>
        <w:t xml:space="preserve"> The result is a decrease in what is called competitive balance. Competitive balance is the equality of the skill level between teams in a league, and it can be measured using the “Noll-Scully” method. If a league is balanced, the outcome of each game within it will be less predictable. Some believe this unpredictability is what makes fans show up to games each night. Fan attendance is one of the largest streams of revenue for an NBA franchise and the league. The more people that show up each night, the more money that is made through not only ticket sales, but concessions, merchandise, and other in-arena sales. </w:t>
      </w:r>
    </w:p>
    <w:p w14:paraId="18F58E6C" w14:textId="124F43BE" w:rsidR="0067312C" w:rsidRPr="00B332A9" w:rsidRDefault="0067312C" w:rsidP="00A612FF">
      <w:pPr>
        <w:spacing w:line="480" w:lineRule="auto"/>
        <w:ind w:firstLine="720"/>
        <w:rPr>
          <w:rFonts w:asciiTheme="majorBidi" w:hAnsiTheme="majorBidi" w:cstheme="majorBidi"/>
        </w:rPr>
      </w:pPr>
      <w:r w:rsidRPr="00B332A9">
        <w:rPr>
          <w:rFonts w:asciiTheme="majorBidi" w:hAnsiTheme="majorBidi" w:cstheme="majorBidi"/>
        </w:rPr>
        <w:t xml:space="preserve">I do not believe that competitive balance affects attendance. I personally believe that people show up to NBA games to see some of the best athletes in the world do incredibly athletic things that the average human could not dream of. To test if competitive balance within the league influences attendance, I have used the Noll-Scully Method to measure competitive balance. A lower Noll-Scully measure means that the league is more balanced.   Additionally, I calculated the average attendance around the league for each season from the 2000-2001 season </w:t>
      </w:r>
      <w:r w:rsidRPr="00B332A9">
        <w:rPr>
          <w:rFonts w:asciiTheme="majorBidi" w:hAnsiTheme="majorBidi" w:cstheme="majorBidi"/>
        </w:rPr>
        <w:lastRenderedPageBreak/>
        <w:t xml:space="preserve">to the 2012-2013 season. I then compared the two in the form of tables and a scatter plot. I also created a scatter plot that shows a year’s attendance based on the competitive balance of the league from the year before. This was to see if the results of a previous year effect the attendance for the current year. </w:t>
      </w:r>
    </w:p>
    <w:p w14:paraId="0FFEB055" w14:textId="0ABE6EEC" w:rsidR="0067312C" w:rsidRDefault="00B332A9" w:rsidP="00A612FF">
      <w:pPr>
        <w:spacing w:line="480" w:lineRule="auto"/>
        <w:ind w:firstLine="720"/>
        <w:rPr>
          <w:rFonts w:asciiTheme="majorBidi" w:hAnsiTheme="majorBidi" w:cstheme="majorBidi"/>
        </w:rPr>
      </w:pPr>
      <w:r>
        <w:rPr>
          <w:rFonts w:asciiTheme="majorBidi" w:hAnsiTheme="majorBidi" w:cstheme="majorBidi"/>
        </w:rPr>
        <w:t xml:space="preserve">In Figure 1 </w:t>
      </w:r>
      <w:r w:rsidR="003E06C9">
        <w:rPr>
          <w:rFonts w:asciiTheme="majorBidi" w:hAnsiTheme="majorBidi" w:cstheme="majorBidi"/>
        </w:rPr>
        <w:t>below</w:t>
      </w:r>
      <w:r>
        <w:rPr>
          <w:rFonts w:asciiTheme="majorBidi" w:hAnsiTheme="majorBidi" w:cstheme="majorBidi"/>
        </w:rPr>
        <w:t xml:space="preserve">, the Noll-Scully measure (X-axis) is compared to the Average Attendance (Y-axis). Each point represents a different year, and the line is a Microsoft Excel generated line of best fit. At first glance, the points on the graph do not appear to have any general correlation. The two lowest points on the Noll-Scully Measure are almost exact opposites in attendance, with one being the highest average attendance and the other being third to lowest. As you move across the graph, this trend continues with multiple points that have similar measures of Competitive Balance having a large range of average attendance. The trend line shows a downward slope, but our R-squared statistic of 0.0171 tells us that the trend line is not truly descriptive of the data it represents. A R-squared statistic of 0 means that the trend line is completely useless when looking at the data, while a R-squared of 1 would mean the opposite. This graph shows that Average Attendance and Competitive Balance do not have a relationship to each other. </w:t>
      </w:r>
    </w:p>
    <w:p w14:paraId="26D0E66F" w14:textId="656FAD59" w:rsidR="00B332A9" w:rsidRDefault="00B332A9" w:rsidP="00A612FF">
      <w:pPr>
        <w:spacing w:line="480" w:lineRule="auto"/>
        <w:rPr>
          <w:rFonts w:asciiTheme="majorBidi" w:hAnsiTheme="majorBidi" w:cstheme="majorBidi"/>
        </w:rPr>
      </w:pPr>
      <w:r>
        <w:rPr>
          <w:rFonts w:asciiTheme="majorBidi" w:hAnsiTheme="majorBidi" w:cstheme="majorBidi"/>
        </w:rPr>
        <w:tab/>
        <w:t xml:space="preserve">Figure </w:t>
      </w:r>
      <w:r w:rsidR="003E06C9">
        <w:rPr>
          <w:rFonts w:asciiTheme="majorBidi" w:hAnsiTheme="majorBidi" w:cstheme="majorBidi"/>
        </w:rPr>
        <w:t>2</w:t>
      </w:r>
      <w:r>
        <w:rPr>
          <w:rFonts w:asciiTheme="majorBidi" w:hAnsiTheme="majorBidi" w:cstheme="majorBidi"/>
        </w:rPr>
        <w:t xml:space="preserve"> shows the Noll-Scully measure of the previous season to the current season’s average attendance. For example, the Noll-Scully measure for the season ending 2009 would be compared to the average attendance of the season ending 2010. The purpose of this graph is to </w:t>
      </w:r>
      <w:r w:rsidR="003E06C9">
        <w:rPr>
          <w:rFonts w:asciiTheme="majorBidi" w:hAnsiTheme="majorBidi" w:cstheme="majorBidi"/>
        </w:rPr>
        <w:t xml:space="preserve">test the theory that if the league was competitive the year prior, attendance for the current year would be higher. Like the previous graph, it appears that this is not the case. Competitive Balance and Attendance do not appear to be correlated. Additionally, the R-squared statistic is </w:t>
      </w:r>
      <w:r w:rsidR="003E06C9">
        <w:rPr>
          <w:rFonts w:asciiTheme="majorBidi" w:hAnsiTheme="majorBidi" w:cstheme="majorBidi"/>
        </w:rPr>
        <w:lastRenderedPageBreak/>
        <w:t>very low at 0.0005. This implies that the line of best fit does not explain the data at all. As seen in both Figures 1 and 2, Competitive Balance and Average Attendance are not correlated.</w:t>
      </w:r>
    </w:p>
    <w:p w14:paraId="6559CBFF" w14:textId="6B6EBA58" w:rsidR="003E06C9" w:rsidRDefault="003E06C9" w:rsidP="00A612FF">
      <w:pPr>
        <w:spacing w:line="480" w:lineRule="auto"/>
        <w:rPr>
          <w:rFonts w:asciiTheme="majorBidi" w:hAnsiTheme="majorBidi" w:cstheme="majorBidi"/>
        </w:rPr>
      </w:pPr>
      <w:r>
        <w:rPr>
          <w:rFonts w:asciiTheme="majorBidi" w:hAnsiTheme="majorBidi" w:cstheme="majorBidi"/>
        </w:rPr>
        <w:tab/>
        <w:t xml:space="preserve">Our findings lead me to wonder what drives up attendance, and why fans would not care about competitive balance when it comes to making their decision. We can rule out time and popularity of the league growing being the leading factor based on Figure 3 which looks at Average Attendance by year. As shown below there is no consistency in attendance. Average attendance steadily climbed until about 2008 where it then decreased on average the following years. The line of best fit shows a steady increase, but this is not entirely representative of the data as shown by the R-squared statistic of 0.1427. We can take from the data however that attendance is not on a constant increase or that the popularity of the NBA increasing over the previous years with the rise of stars like Lebron James, Kevin Durant and Carmelo Anthony. Additionally, attendance could not steadily increase anyways considering that there are only so many seats in each NBA arena. My own hypothesis was that people show up to NBA games to see star athletes doing incredibly athletic actions as a form of entertainment. With the data available within the assignment, it is not easy to determine if this is true. </w:t>
      </w:r>
    </w:p>
    <w:p w14:paraId="035EC6EC" w14:textId="0A74C220" w:rsidR="003E06C9" w:rsidRDefault="003E06C9" w:rsidP="00A612FF">
      <w:pPr>
        <w:spacing w:line="480" w:lineRule="auto"/>
        <w:rPr>
          <w:rFonts w:asciiTheme="majorBidi" w:hAnsiTheme="majorBidi" w:cstheme="majorBidi"/>
        </w:rPr>
      </w:pPr>
      <w:r>
        <w:rPr>
          <w:rFonts w:asciiTheme="majorBidi" w:hAnsiTheme="majorBidi" w:cstheme="majorBidi"/>
        </w:rPr>
        <w:tab/>
        <w:t>Based on the data available, having increased competitive balance within the NBA does not lead to increased attendance throughout the league. Additionally, the previous year’s competitive balance also does not have any relationship to the current year’s attendance. Creating revenue is the most important thing for the NBA. If they were to launch a plan to find a way to increase competitive balance in hopes of it creating increased attendance, the plan would likely fail based on the information discussed. While important for other reasons, a higher competitive balance will not result in a higher average attendance within the NBA.</w:t>
      </w:r>
    </w:p>
    <w:p w14:paraId="3AD37AC8" w14:textId="3C480889" w:rsidR="003E06C9" w:rsidRDefault="003E06C9" w:rsidP="00A612FF">
      <w:pPr>
        <w:spacing w:line="480" w:lineRule="auto"/>
        <w:rPr>
          <w:rFonts w:asciiTheme="majorBidi" w:hAnsiTheme="majorBidi" w:cstheme="majorBidi"/>
        </w:rPr>
      </w:pPr>
      <w:r>
        <w:rPr>
          <w:rFonts w:asciiTheme="majorBidi" w:hAnsiTheme="majorBidi" w:cstheme="majorBidi"/>
        </w:rPr>
        <w:tab/>
      </w:r>
    </w:p>
    <w:p w14:paraId="3CFC3C1C" w14:textId="499BD2E4" w:rsidR="003E06C9" w:rsidRDefault="003E06C9" w:rsidP="00B332A9">
      <w:pPr>
        <w:spacing w:line="480" w:lineRule="auto"/>
        <w:rPr>
          <w:rFonts w:asciiTheme="majorBidi" w:hAnsiTheme="majorBidi" w:cstheme="majorBidi"/>
          <w:b/>
          <w:bCs/>
        </w:rPr>
      </w:pPr>
      <w:r>
        <w:rPr>
          <w:rFonts w:asciiTheme="majorBidi" w:hAnsiTheme="majorBidi" w:cstheme="majorBidi"/>
          <w:b/>
          <w:bCs/>
        </w:rPr>
        <w:lastRenderedPageBreak/>
        <w:t>Figure 1:</w:t>
      </w:r>
    </w:p>
    <w:p w14:paraId="785A519E" w14:textId="559BA2AF" w:rsidR="003E06C9" w:rsidRPr="003E06C9" w:rsidRDefault="003E06C9" w:rsidP="00B332A9">
      <w:pPr>
        <w:spacing w:line="480" w:lineRule="auto"/>
        <w:rPr>
          <w:rFonts w:asciiTheme="majorBidi" w:hAnsiTheme="majorBidi" w:cstheme="majorBidi"/>
          <w:b/>
          <w:bCs/>
        </w:rPr>
      </w:pPr>
      <w:r w:rsidRPr="00B332A9">
        <w:rPr>
          <w:rFonts w:asciiTheme="majorBidi" w:hAnsiTheme="majorBidi" w:cstheme="majorBidi"/>
          <w:noProof/>
        </w:rPr>
        <w:drawing>
          <wp:inline distT="0" distB="0" distL="0" distR="0" wp14:anchorId="4EBCE70B" wp14:editId="3FF8782C">
            <wp:extent cx="4615180" cy="2656114"/>
            <wp:effectExtent l="0" t="0" r="7620" b="11430"/>
            <wp:docPr id="1448047211" name="Chart 1">
              <a:extLst xmlns:a="http://schemas.openxmlformats.org/drawingml/2006/main">
                <a:ext uri="{FF2B5EF4-FFF2-40B4-BE49-F238E27FC236}">
                  <a16:creationId xmlns:a16="http://schemas.microsoft.com/office/drawing/2014/main" id="{A41FDF0D-1E3E-0E71-97B5-609A52A699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D07499C" w14:textId="52CE0AB2" w:rsidR="003E06C9" w:rsidRPr="003E06C9" w:rsidRDefault="003E06C9" w:rsidP="003E06C9">
      <w:pPr>
        <w:spacing w:line="480" w:lineRule="auto"/>
        <w:rPr>
          <w:rFonts w:asciiTheme="majorBidi" w:hAnsiTheme="majorBidi" w:cstheme="majorBidi"/>
          <w:b/>
          <w:bCs/>
        </w:rPr>
      </w:pPr>
      <w:r w:rsidRPr="00B332A9">
        <w:rPr>
          <w:rFonts w:asciiTheme="majorBidi" w:hAnsiTheme="majorBidi" w:cstheme="majorBidi"/>
          <w:b/>
          <w:bCs/>
        </w:rPr>
        <w:t>Figure 2:</w:t>
      </w:r>
      <w:r w:rsidRPr="003E06C9">
        <w:rPr>
          <w:noProof/>
        </w:rPr>
        <w:t xml:space="preserve"> </w:t>
      </w:r>
    </w:p>
    <w:p w14:paraId="5F790DA0" w14:textId="64B66C77" w:rsidR="003E06C9" w:rsidRDefault="003E06C9" w:rsidP="00B332A9">
      <w:pPr>
        <w:spacing w:line="480" w:lineRule="auto"/>
        <w:rPr>
          <w:rFonts w:asciiTheme="majorBidi" w:hAnsiTheme="majorBidi" w:cstheme="majorBidi"/>
          <w:b/>
          <w:bCs/>
        </w:rPr>
      </w:pPr>
      <w:r>
        <w:rPr>
          <w:noProof/>
        </w:rPr>
        <w:drawing>
          <wp:inline distT="0" distB="0" distL="0" distR="0" wp14:anchorId="456C0B70" wp14:editId="5CFFAB57">
            <wp:extent cx="4669971" cy="2601686"/>
            <wp:effectExtent l="0" t="0" r="16510" b="14605"/>
            <wp:docPr id="1399783656" name="Chart 1">
              <a:extLst xmlns:a="http://schemas.openxmlformats.org/drawingml/2006/main">
                <a:ext uri="{FF2B5EF4-FFF2-40B4-BE49-F238E27FC236}">
                  <a16:creationId xmlns:a16="http://schemas.microsoft.com/office/drawing/2014/main" id="{F7A7270C-5A22-308C-C271-D9C519CB32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BDAFBC2" w14:textId="00EAF158" w:rsidR="003E06C9" w:rsidRDefault="003E06C9" w:rsidP="00B332A9">
      <w:pPr>
        <w:spacing w:line="480" w:lineRule="auto"/>
        <w:rPr>
          <w:rFonts w:asciiTheme="majorBidi" w:hAnsiTheme="majorBidi" w:cstheme="majorBidi"/>
          <w:b/>
          <w:bCs/>
        </w:rPr>
      </w:pPr>
      <w:r>
        <w:rPr>
          <w:rFonts w:asciiTheme="majorBidi" w:hAnsiTheme="majorBidi" w:cstheme="majorBidi"/>
          <w:b/>
          <w:bCs/>
        </w:rPr>
        <w:t>Figure 3:</w:t>
      </w:r>
    </w:p>
    <w:p w14:paraId="45DAFFC0" w14:textId="4F095ABC" w:rsidR="003E06C9" w:rsidRPr="00B332A9" w:rsidRDefault="003E06C9" w:rsidP="00B332A9">
      <w:pPr>
        <w:spacing w:line="480" w:lineRule="auto"/>
        <w:rPr>
          <w:rFonts w:asciiTheme="majorBidi" w:hAnsiTheme="majorBidi" w:cstheme="majorBidi"/>
          <w:b/>
          <w:bCs/>
        </w:rPr>
      </w:pPr>
      <w:r>
        <w:rPr>
          <w:noProof/>
        </w:rPr>
        <w:lastRenderedPageBreak/>
        <w:drawing>
          <wp:inline distT="0" distB="0" distL="0" distR="0" wp14:anchorId="34EAC4A6" wp14:editId="2D86F2CA">
            <wp:extent cx="4572000" cy="2743200"/>
            <wp:effectExtent l="0" t="0" r="12700" b="12700"/>
            <wp:docPr id="642276870" name="Chart 1">
              <a:extLst xmlns:a="http://schemas.openxmlformats.org/drawingml/2006/main">
                <a:ext uri="{FF2B5EF4-FFF2-40B4-BE49-F238E27FC236}">
                  <a16:creationId xmlns:a16="http://schemas.microsoft.com/office/drawing/2014/main" id="{47600DEA-5AFB-5D55-1682-4DE52C22F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3E06C9" w:rsidRPr="00B33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4E7"/>
    <w:rsid w:val="0008681D"/>
    <w:rsid w:val="0024206E"/>
    <w:rsid w:val="003E06C9"/>
    <w:rsid w:val="0067312C"/>
    <w:rsid w:val="007174E7"/>
    <w:rsid w:val="00A612FF"/>
    <w:rsid w:val="00B332A9"/>
    <w:rsid w:val="00E32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FBC2223"/>
  <w15:chartTrackingRefBased/>
  <w15:docId w15:val="{193390F4-B204-2147-8A58-9A77F21C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7174E7"/>
  </w:style>
  <w:style w:type="character" w:customStyle="1" w:styleId="DateChar">
    <w:name w:val="Date Char"/>
    <w:basedOn w:val="DefaultParagraphFont"/>
    <w:link w:val="Date"/>
    <w:uiPriority w:val="99"/>
    <w:semiHidden/>
    <w:rsid w:val="00717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jackkent1/Downloads/JackKCompBalanceEssa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ackkent1/Downloads/JackKCompBalanceEssa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jackkent1/Downloads/JackKCompBalanceEssa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Attendance vs Competitive Balance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7647177358196215"/>
                  <c:y val="-0.314966083421777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Essay!$B$3:$B$15</c:f>
              <c:numCache>
                <c:formatCode>General</c:formatCode>
                <c:ptCount val="13"/>
                <c:pt idx="0">
                  <c:v>2.7979039769999998</c:v>
                </c:pt>
                <c:pt idx="1">
                  <c:v>1.857544759</c:v>
                </c:pt>
                <c:pt idx="2">
                  <c:v>2.281046543</c:v>
                </c:pt>
                <c:pt idx="3">
                  <c:v>2.519788986</c:v>
                </c:pt>
                <c:pt idx="4">
                  <c:v>2.6518975340000002</c:v>
                </c:pt>
                <c:pt idx="5">
                  <c:v>2.4640455619999999</c:v>
                </c:pt>
                <c:pt idx="6">
                  <c:v>1.904153215</c:v>
                </c:pt>
                <c:pt idx="7">
                  <c:v>2.8823297060000002</c:v>
                </c:pt>
                <c:pt idx="8">
                  <c:v>2.6881736059999999</c:v>
                </c:pt>
                <c:pt idx="9">
                  <c:v>2.9671389590000001</c:v>
                </c:pt>
                <c:pt idx="10">
                  <c:v>2.9984165599999999</c:v>
                </c:pt>
                <c:pt idx="11">
                  <c:v>3.11496474</c:v>
                </c:pt>
                <c:pt idx="12">
                  <c:v>2.8409982280000001</c:v>
                </c:pt>
              </c:numCache>
            </c:numRef>
          </c:xVal>
          <c:yVal>
            <c:numRef>
              <c:f>Essay!$C$3:$C$15</c:f>
              <c:numCache>
                <c:formatCode>_(* #,##0.00_);_(* \(#,##0.00\);_(* "-"??_);_(@_)</c:formatCode>
                <c:ptCount val="13"/>
                <c:pt idx="0" formatCode="General">
                  <c:v>16708.599999999999</c:v>
                </c:pt>
                <c:pt idx="1">
                  <c:v>16934.330000000002</c:v>
                </c:pt>
                <c:pt idx="2" formatCode="General">
                  <c:v>16873.2</c:v>
                </c:pt>
                <c:pt idx="3">
                  <c:v>16955.8</c:v>
                </c:pt>
                <c:pt idx="4" formatCode="General">
                  <c:v>17322.93333</c:v>
                </c:pt>
                <c:pt idx="5" formatCode="General">
                  <c:v>17711.8</c:v>
                </c:pt>
                <c:pt idx="6" formatCode="General">
                  <c:v>17850.2</c:v>
                </c:pt>
                <c:pt idx="7" formatCode="General">
                  <c:v>17556.93333</c:v>
                </c:pt>
                <c:pt idx="8" formatCode="General">
                  <c:v>17591</c:v>
                </c:pt>
                <c:pt idx="9" formatCode="General">
                  <c:v>17160.2</c:v>
                </c:pt>
                <c:pt idx="10" formatCode="General">
                  <c:v>17304.266670000001</c:v>
                </c:pt>
                <c:pt idx="11" formatCode="General">
                  <c:v>17048.06667</c:v>
                </c:pt>
                <c:pt idx="12" formatCode="General">
                  <c:v>17189.06667</c:v>
                </c:pt>
              </c:numCache>
            </c:numRef>
          </c:yVal>
          <c:smooth val="0"/>
          <c:extLst>
            <c:ext xmlns:c16="http://schemas.microsoft.com/office/drawing/2014/chart" uri="{C3380CC4-5D6E-409C-BE32-E72D297353CC}">
              <c16:uniqueId val="{00000001-51FE-A348-9677-93836C25D0C9}"/>
            </c:ext>
          </c:extLst>
        </c:ser>
        <c:dLbls>
          <c:showLegendKey val="0"/>
          <c:showVal val="0"/>
          <c:showCatName val="0"/>
          <c:showSerName val="0"/>
          <c:showPercent val="0"/>
          <c:showBubbleSize val="0"/>
        </c:dLbls>
        <c:axId val="263721935"/>
        <c:axId val="1438671424"/>
      </c:scatterChart>
      <c:valAx>
        <c:axId val="2637219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Noll Scully Measure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671424"/>
        <c:crosses val="autoZero"/>
        <c:crossBetween val="midCat"/>
      </c:valAx>
      <c:valAx>
        <c:axId val="14386714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Attendance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72193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Attendance vs Previous Year Competitive Balance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0429726861718731"/>
                  <c:y val="-0.230821763717891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Essay!$C$23:$C$34</c:f>
              <c:numCache>
                <c:formatCode>General</c:formatCode>
                <c:ptCount val="12"/>
                <c:pt idx="0">
                  <c:v>2.7979039769999998</c:v>
                </c:pt>
                <c:pt idx="1">
                  <c:v>1.857544759</c:v>
                </c:pt>
                <c:pt idx="2">
                  <c:v>2.281046543</c:v>
                </c:pt>
                <c:pt idx="3">
                  <c:v>2.519788986</c:v>
                </c:pt>
                <c:pt idx="4">
                  <c:v>2.6518975340000002</c:v>
                </c:pt>
                <c:pt idx="5">
                  <c:v>2.4640455619999999</c:v>
                </c:pt>
                <c:pt idx="6">
                  <c:v>1.904153215</c:v>
                </c:pt>
                <c:pt idx="7">
                  <c:v>2.8823297060000002</c:v>
                </c:pt>
                <c:pt idx="8">
                  <c:v>2.6881736059999999</c:v>
                </c:pt>
                <c:pt idx="9">
                  <c:v>2.9671389590000001</c:v>
                </c:pt>
                <c:pt idx="10">
                  <c:v>2.9984165599999999</c:v>
                </c:pt>
                <c:pt idx="11">
                  <c:v>3.11496474</c:v>
                </c:pt>
              </c:numCache>
            </c:numRef>
          </c:xVal>
          <c:yVal>
            <c:numRef>
              <c:f>Essay!$D$23:$D$34</c:f>
              <c:numCache>
                <c:formatCode>General</c:formatCode>
                <c:ptCount val="12"/>
                <c:pt idx="0" formatCode="_(* #,##0.00_);_(* \(#,##0.00\);_(* &quot;-&quot;??_);_(@_)">
                  <c:v>16934.330000000002</c:v>
                </c:pt>
                <c:pt idx="1">
                  <c:v>16873.2</c:v>
                </c:pt>
                <c:pt idx="2" formatCode="_(* #,##0.00_);_(* \(#,##0.00\);_(* &quot;-&quot;??_);_(@_)">
                  <c:v>16955.8</c:v>
                </c:pt>
                <c:pt idx="3">
                  <c:v>17322.93333</c:v>
                </c:pt>
                <c:pt idx="4">
                  <c:v>17711.8</c:v>
                </c:pt>
                <c:pt idx="5">
                  <c:v>17850.2</c:v>
                </c:pt>
                <c:pt idx="6">
                  <c:v>17556.93333</c:v>
                </c:pt>
                <c:pt idx="7">
                  <c:v>17591</c:v>
                </c:pt>
                <c:pt idx="8">
                  <c:v>17160.2</c:v>
                </c:pt>
                <c:pt idx="9">
                  <c:v>17304.266670000001</c:v>
                </c:pt>
                <c:pt idx="10">
                  <c:v>17048.06667</c:v>
                </c:pt>
                <c:pt idx="11">
                  <c:v>17189.06667</c:v>
                </c:pt>
              </c:numCache>
            </c:numRef>
          </c:yVal>
          <c:smooth val="0"/>
          <c:extLst>
            <c:ext xmlns:c16="http://schemas.microsoft.com/office/drawing/2014/chart" uri="{C3380CC4-5D6E-409C-BE32-E72D297353CC}">
              <c16:uniqueId val="{00000001-413C-034F-ABB6-81D51886AACE}"/>
            </c:ext>
          </c:extLst>
        </c:ser>
        <c:dLbls>
          <c:showLegendKey val="0"/>
          <c:showVal val="0"/>
          <c:showCatName val="0"/>
          <c:showSerName val="0"/>
          <c:showPercent val="0"/>
          <c:showBubbleSize val="0"/>
        </c:dLbls>
        <c:axId val="1960314256"/>
        <c:axId val="1877191088"/>
      </c:scatterChart>
      <c:valAx>
        <c:axId val="1960314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Noll Scully Previous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7191088"/>
        <c:crosses val="autoZero"/>
        <c:crossBetween val="midCat"/>
      </c:valAx>
      <c:valAx>
        <c:axId val="187719108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Attendance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3142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Attendance per</a:t>
            </a:r>
            <a:r>
              <a:rPr lang="en-US" baseline="0"/>
              <a:t> Year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6157939632545932"/>
                  <c:y val="-7.6130067074948959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Essay!$B$37:$B$49</c:f>
              <c:numCache>
                <c:formatCode>General</c:formatCode>
                <c:ptCount val="1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numCache>
            </c:numRef>
          </c:xVal>
          <c:yVal>
            <c:numRef>
              <c:f>Essay!$D$37:$D$49</c:f>
              <c:numCache>
                <c:formatCode>_(* #,##0.00_);_(* \(#,##0.00\);_(* "-"??_);_(@_)</c:formatCode>
                <c:ptCount val="13"/>
                <c:pt idx="0" formatCode="General">
                  <c:v>16708.599999999999</c:v>
                </c:pt>
                <c:pt idx="1">
                  <c:v>16934.330000000002</c:v>
                </c:pt>
                <c:pt idx="2" formatCode="General">
                  <c:v>16873.2</c:v>
                </c:pt>
                <c:pt idx="3">
                  <c:v>16955.8</c:v>
                </c:pt>
                <c:pt idx="4" formatCode="General">
                  <c:v>17322.93333</c:v>
                </c:pt>
                <c:pt idx="5" formatCode="General">
                  <c:v>17711.8</c:v>
                </c:pt>
                <c:pt idx="6" formatCode="General">
                  <c:v>17850.2</c:v>
                </c:pt>
                <c:pt idx="7" formatCode="General">
                  <c:v>17556.93333</c:v>
                </c:pt>
                <c:pt idx="8" formatCode="General">
                  <c:v>17591</c:v>
                </c:pt>
                <c:pt idx="9" formatCode="General">
                  <c:v>17160.2</c:v>
                </c:pt>
                <c:pt idx="10" formatCode="General">
                  <c:v>17304.266670000001</c:v>
                </c:pt>
                <c:pt idx="11" formatCode="General">
                  <c:v>17048.06667</c:v>
                </c:pt>
                <c:pt idx="12" formatCode="General">
                  <c:v>17189.06667</c:v>
                </c:pt>
              </c:numCache>
            </c:numRef>
          </c:yVal>
          <c:smooth val="0"/>
          <c:extLst>
            <c:ext xmlns:c16="http://schemas.microsoft.com/office/drawing/2014/chart" uri="{C3380CC4-5D6E-409C-BE32-E72D297353CC}">
              <c16:uniqueId val="{00000001-5BAE-B342-A147-8A5214F46000}"/>
            </c:ext>
          </c:extLst>
        </c:ser>
        <c:dLbls>
          <c:showLegendKey val="0"/>
          <c:showVal val="0"/>
          <c:showCatName val="0"/>
          <c:showSerName val="0"/>
          <c:showPercent val="0"/>
          <c:showBubbleSize val="0"/>
        </c:dLbls>
        <c:axId val="108749119"/>
        <c:axId val="108899503"/>
      </c:scatterChart>
      <c:valAx>
        <c:axId val="1087491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99503"/>
        <c:crosses val="autoZero"/>
        <c:crossBetween val="midCat"/>
      </c:valAx>
      <c:valAx>
        <c:axId val="10889950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Attendance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49119"/>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889</Words>
  <Characters>5071</Characters>
  <Application>Microsoft Office Word</Application>
  <DocSecurity>0</DocSecurity>
  <Lines>42</Lines>
  <Paragraphs>11</Paragraphs>
  <ScaleCrop>false</ScaleCrop>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Kent</dc:creator>
  <cp:keywords/>
  <dc:description/>
  <cp:lastModifiedBy>Jack Kent</cp:lastModifiedBy>
  <cp:revision>4</cp:revision>
  <dcterms:created xsi:type="dcterms:W3CDTF">2023-10-14T23:42:00Z</dcterms:created>
  <dcterms:modified xsi:type="dcterms:W3CDTF">2023-10-14T23:42:00Z</dcterms:modified>
</cp:coreProperties>
</file>